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5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人工智能工具教学实践课例竞赛参赛指南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53"/>
        <w:textAlignment w:val="baseline"/>
        <w:outlineLvl w:val="1"/>
        <w:rPr>
          <w:rFonts w:hint="eastAsia" w:ascii="黑体" w:hAnsi="黑体" w:eastAsia="黑体" w:cs="黑体"/>
          <w:spacing w:val="5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53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5"/>
          <w:sz w:val="32"/>
          <w:szCs w:val="32"/>
        </w:rPr>
        <w:t>一、参赛对象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1"/>
        <w:rPr>
          <w:rFonts w:hint="eastAsia" w:ascii="CESI仿宋-GB2312" w:hAnsi="CESI仿宋-GB2312" w:eastAsia="CESI仿宋-GB2312" w:cs="CESI仿宋-GB2312"/>
          <w:color w:val="0F1115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color w:val="0F1115"/>
          <w:sz w:val="32"/>
          <w:szCs w:val="32"/>
        </w:rPr>
        <w:t>全省中小学</w:t>
      </w:r>
      <w:r>
        <w:rPr>
          <w:rFonts w:hint="eastAsia" w:ascii="CESI仿宋-GB2312" w:hAnsi="CESI仿宋-GB2312" w:eastAsia="CESI仿宋-GB2312" w:cs="CESI仿宋-GB2312"/>
          <w:color w:val="0F1115"/>
          <w:sz w:val="32"/>
          <w:szCs w:val="32"/>
          <w:lang w:eastAsia="zh-CN"/>
        </w:rPr>
        <w:t>校</w:t>
      </w:r>
      <w:r>
        <w:rPr>
          <w:rFonts w:hint="eastAsia" w:ascii="CESI仿宋-GB2312" w:hAnsi="CESI仿宋-GB2312" w:eastAsia="CESI仿宋-GB2312" w:cs="CESI仿宋-GB2312"/>
          <w:color w:val="0F1115"/>
          <w:sz w:val="32"/>
          <w:szCs w:val="32"/>
        </w:rPr>
        <w:t>教师</w:t>
      </w:r>
      <w:r>
        <w:rPr>
          <w:rFonts w:hint="eastAsia" w:ascii="CESI仿宋-GB2312" w:hAnsi="CESI仿宋-GB2312" w:eastAsia="CESI仿宋-GB2312" w:cs="CESI仿宋-GB2312"/>
          <w:color w:val="0F1115"/>
          <w:sz w:val="32"/>
          <w:szCs w:val="32"/>
          <w:lang w:eastAsia="zh-CN"/>
        </w:rPr>
        <w:t>、</w:t>
      </w:r>
      <w:r>
        <w:rPr>
          <w:rFonts w:hint="eastAsia" w:ascii="CESI仿宋-GB2312" w:hAnsi="CESI仿宋-GB2312" w:eastAsia="CESI仿宋-GB2312" w:cs="CESI仿宋-GB2312"/>
          <w:color w:val="0F1115"/>
          <w:sz w:val="32"/>
          <w:szCs w:val="32"/>
        </w:rPr>
        <w:t>各级教育行政部门信息化管理人员、教研员。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53"/>
        <w:textAlignment w:val="baseline"/>
        <w:outlineLvl w:val="1"/>
        <w:rPr>
          <w:rFonts w:hint="eastAsia" w:ascii="黑体" w:hAnsi="黑体" w:eastAsia="黑体" w:cs="黑体"/>
          <w:spacing w:val="5"/>
          <w:sz w:val="32"/>
          <w:szCs w:val="32"/>
        </w:rPr>
      </w:pPr>
      <w:r>
        <w:rPr>
          <w:rFonts w:hint="eastAsia" w:ascii="黑体" w:hAnsi="黑体" w:eastAsia="黑体" w:cs="黑体"/>
          <w:spacing w:val="5"/>
          <w:sz w:val="32"/>
          <w:szCs w:val="32"/>
        </w:rPr>
        <w:t>二、时间安排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CESI仿宋-GB2312" w:hAnsi="CESI仿宋-GB2312" w:eastAsia="CESI仿宋-GB2312" w:cs="CESI仿宋-GB2312"/>
          <w:color w:val="0F1115"/>
          <w:kern w:val="2"/>
          <w:sz w:val="32"/>
          <w:szCs w:val="32"/>
          <w:lang w:val="en-US" w:eastAsia="zh-CN" w:bidi="ar-SA"/>
        </w:rPr>
      </w:pPr>
      <w:r>
        <w:rPr>
          <w:rFonts w:hint="eastAsia" w:ascii="CESI仿宋-GB2312" w:hAnsi="CESI仿宋-GB2312" w:eastAsia="CESI仿宋-GB2312" w:cs="CESI仿宋-GB2312"/>
          <w:color w:val="0F1115"/>
          <w:kern w:val="2"/>
          <w:sz w:val="32"/>
          <w:szCs w:val="32"/>
          <w:lang w:val="en-US" w:eastAsia="zh-CN" w:bidi="ar-SA"/>
        </w:rPr>
        <w:t>作品上传：2026年4月10日— 5月31日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CESI仿宋-GB2312" w:hAnsi="CESI仿宋-GB2312" w:eastAsia="CESI仿宋-GB2312" w:cs="CESI仿宋-GB2312"/>
          <w:color w:val="0F1115"/>
          <w:kern w:val="2"/>
          <w:sz w:val="32"/>
          <w:szCs w:val="32"/>
          <w:lang w:val="en-US" w:eastAsia="zh-CN" w:bidi="ar-SA"/>
        </w:rPr>
      </w:pPr>
      <w:r>
        <w:rPr>
          <w:rFonts w:hint="eastAsia" w:ascii="CESI仿宋-GB2312" w:hAnsi="CESI仿宋-GB2312" w:eastAsia="CESI仿宋-GB2312" w:cs="CESI仿宋-GB2312"/>
          <w:color w:val="0F1115"/>
          <w:kern w:val="2"/>
          <w:sz w:val="32"/>
          <w:szCs w:val="32"/>
          <w:lang w:val="en-US" w:eastAsia="zh-CN" w:bidi="ar-SA"/>
        </w:rPr>
        <w:t>县（市、区）评审：2026年6月1日— 6月18日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CESI仿宋-GB2312" w:hAnsi="CESI仿宋-GB2312" w:eastAsia="CESI仿宋-GB2312" w:cs="CESI仿宋-GB2312"/>
          <w:color w:val="0F1115"/>
          <w:kern w:val="2"/>
          <w:sz w:val="32"/>
          <w:szCs w:val="32"/>
          <w:lang w:val="en-US" w:eastAsia="zh-CN" w:bidi="ar-SA"/>
        </w:rPr>
      </w:pPr>
      <w:r>
        <w:rPr>
          <w:rFonts w:hint="eastAsia" w:ascii="CESI仿宋-GB2312" w:hAnsi="CESI仿宋-GB2312" w:eastAsia="CESI仿宋-GB2312" w:cs="CESI仿宋-GB2312"/>
          <w:color w:val="0F1115"/>
          <w:kern w:val="2"/>
          <w:sz w:val="32"/>
          <w:szCs w:val="32"/>
          <w:lang w:val="en-US" w:eastAsia="zh-CN" w:bidi="ar-SA"/>
        </w:rPr>
        <w:t>市（州）评审：2026年6月22日— 7月6日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jc w:val="both"/>
        <w:textAlignment w:val="auto"/>
        <w:rPr>
          <w:rFonts w:hint="eastAsia" w:ascii="黑体" w:hAnsi="黑体" w:eastAsia="黑体" w:cs="黑体"/>
          <w:spacing w:val="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32"/>
          <w:szCs w:val="32"/>
          <w:lang w:val="en-US" w:eastAsia="zh-CN"/>
        </w:rPr>
        <w:t>三、参赛方式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登录“贵州省教育资源公共服务平台”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平台地址：</w:t>
      </w:r>
      <w:r>
        <w:rPr>
          <w:rFonts w:hint="eastAsia" w:ascii="Times New Roman" w:hAnsi="Times New Roman" w:eastAsia="仿宋_GB2312" w:cs="仿宋_GB2312"/>
          <w:sz w:val="32"/>
          <w:szCs w:val="32"/>
        </w:rPr>
        <w:t>https://gzseduyun.cn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，按指引完成实名认证及作品上传。活动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路径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：首页【教研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与活动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】板块—【大赛活动】—【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2026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年全省中小学教师数字化教学实践与人工智能创新应用活动】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选择对应赛项参赛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53"/>
        <w:textAlignment w:val="baseline"/>
        <w:outlineLvl w:val="1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32"/>
          <w:szCs w:val="32"/>
          <w:lang w:val="en-US" w:eastAsia="zh-CN"/>
        </w:rPr>
        <w:t>四、参赛作品要求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jc w:val="both"/>
        <w:textAlignment w:val="auto"/>
        <w:rPr>
          <w:rFonts w:hint="eastAsia" w:ascii="CESI楷体-GB2312" w:hAnsi="CESI楷体-GB2312" w:eastAsia="CESI楷体-GB2312" w:cs="CESI楷体-GB2312"/>
          <w:b w:val="0"/>
          <w:bCs w:val="0"/>
          <w:color w:val="auto"/>
          <w:spacing w:val="6"/>
          <w:sz w:val="32"/>
          <w:szCs w:val="32"/>
          <w:highlight w:val="none"/>
          <w:lang w:eastAsia="zh-CN"/>
        </w:rPr>
      </w:pPr>
      <w:r>
        <w:rPr>
          <w:rFonts w:hint="eastAsia" w:ascii="CESI楷体-GB2312" w:hAnsi="CESI楷体-GB2312" w:eastAsia="CESI楷体-GB2312" w:cs="CESI楷体-GB2312"/>
          <w:b w:val="0"/>
          <w:bCs w:val="0"/>
          <w:color w:val="auto"/>
          <w:spacing w:val="6"/>
          <w:sz w:val="32"/>
          <w:szCs w:val="32"/>
        </w:rPr>
        <w:t>（一）</w:t>
      </w:r>
      <w:r>
        <w:rPr>
          <w:rFonts w:hint="eastAsia" w:ascii="CESI楷体-GB2312" w:hAnsi="CESI楷体-GB2312" w:eastAsia="CESI楷体-GB2312" w:cs="CESI楷体-GB2312"/>
          <w:b w:val="0"/>
          <w:bCs w:val="0"/>
          <w:color w:val="auto"/>
          <w:spacing w:val="6"/>
          <w:sz w:val="32"/>
          <w:szCs w:val="32"/>
          <w:lang w:eastAsia="zh-CN"/>
        </w:rPr>
        <w:t>作品形式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CESI仿宋-GB2312" w:hAnsi="CESI仿宋-GB2312" w:eastAsia="CESI仿宋-GB2312" w:cs="CESI仿宋-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kern w:val="2"/>
          <w:sz w:val="32"/>
          <w:szCs w:val="32"/>
          <w:highlight w:val="none"/>
          <w:lang w:val="en-US" w:eastAsia="zh-CN" w:bidi="ar-SA"/>
          <w14:ligatures w14:val="standardContextual"/>
        </w:rPr>
        <w:t>制作一个完整课例参赛，需包含教学设计、教学反思、应用成效说明、课堂实录、课件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pacing w:val="6"/>
          <w:sz w:val="32"/>
          <w:szCs w:val="32"/>
          <w:highlight w:val="none"/>
          <w:lang w:val="en-US" w:eastAsia="zh-CN"/>
        </w:rPr>
        <w:t>五个部分，缺项不予以评审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pacing w:val="6"/>
          <w:sz w:val="32"/>
          <w:szCs w:val="32"/>
          <w:highlight w:val="none"/>
        </w:rPr>
        <w:t>。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pacing w:val="6"/>
          <w:sz w:val="32"/>
          <w:szCs w:val="32"/>
          <w:highlight w:val="none"/>
          <w:lang w:eastAsia="zh-CN"/>
        </w:rPr>
        <w:t>其中，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pacing w:val="6"/>
          <w:sz w:val="32"/>
          <w:szCs w:val="32"/>
          <w:highlight w:val="none"/>
        </w:rPr>
        <w:t>教学设计、教学反思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pacing w:val="6"/>
          <w:sz w:val="32"/>
          <w:szCs w:val="32"/>
          <w:highlight w:val="none"/>
          <w:lang w:eastAsia="zh-CN"/>
        </w:rPr>
        <w:t>、</w:t>
      </w:r>
      <w:r>
        <w:rPr>
          <w:rFonts w:hint="eastAsia" w:ascii="CESI仿宋-GB2312" w:hAnsi="CESI仿宋-GB2312" w:eastAsia="CESI仿宋-GB2312" w:cs="CESI仿宋-GB2312"/>
          <w:color w:val="auto"/>
          <w:kern w:val="2"/>
          <w:sz w:val="32"/>
          <w:szCs w:val="32"/>
          <w:highlight w:val="none"/>
          <w:lang w:val="en-US" w:eastAsia="zh-CN" w:bidi="ar-SA"/>
          <w14:ligatures w14:val="standardContextual"/>
        </w:rPr>
        <w:t>应用成效说明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pacing w:val="6"/>
          <w:sz w:val="32"/>
          <w:szCs w:val="32"/>
          <w:highlight w:val="none"/>
          <w:lang w:val="en-US" w:eastAsia="zh-CN"/>
        </w:rPr>
        <w:t>的具体相关内容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pacing w:val="6"/>
          <w:sz w:val="32"/>
          <w:szCs w:val="32"/>
          <w:highlight w:val="none"/>
          <w:lang w:eastAsia="zh-CN"/>
        </w:rPr>
        <w:t>请填报</w:t>
      </w:r>
      <w:r>
        <w:rPr>
          <w:rFonts w:hint="eastAsia" w:ascii="CESI仿宋-GB2312" w:hAnsi="CESI仿宋-GB2312" w:eastAsia="CESI仿宋-GB2312" w:cs="CESI仿宋-GB2312"/>
          <w:b w:val="0"/>
          <w:bCs/>
          <w:color w:val="auto"/>
          <w:sz w:val="32"/>
          <w:szCs w:val="32"/>
          <w:highlight w:val="none"/>
          <w:lang w:val="en-US" w:eastAsia="zh-CN"/>
        </w:rPr>
        <w:t>人工智能工具教学实践课例信息表（附件3-1），与课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pacing w:val="6"/>
          <w:sz w:val="32"/>
          <w:szCs w:val="32"/>
          <w:highlight w:val="none"/>
        </w:rPr>
        <w:t>堂实录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pacing w:val="6"/>
          <w:sz w:val="32"/>
          <w:szCs w:val="32"/>
          <w:highlight w:val="none"/>
          <w:lang w:eastAsia="zh-CN"/>
        </w:rPr>
        <w:t>视频及课件一并</w:t>
      </w:r>
      <w:r>
        <w:rPr>
          <w:rFonts w:hint="eastAsia" w:ascii="CESI仿宋-GB2312" w:hAnsi="CESI仿宋-GB2312" w:eastAsia="CESI仿宋-GB2312" w:cs="CESI仿宋-GB2312"/>
          <w:b w:val="0"/>
          <w:bCs/>
          <w:color w:val="auto"/>
          <w:sz w:val="32"/>
          <w:szCs w:val="32"/>
          <w:highlight w:val="none"/>
          <w:lang w:val="en-US" w:eastAsia="zh-CN"/>
        </w:rPr>
        <w:t>上传提交。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  <w:highlight w:val="none"/>
          <w:lang w:eastAsia="zh-CN"/>
        </w:rPr>
        <w:t>每位参赛者只能提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  <w:lang w:eastAsia="zh-CN"/>
        </w:rPr>
        <w:t>交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  <w:lang w:val="en-US" w:eastAsia="zh-CN"/>
        </w:rPr>
        <w:t>一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  <w:lang w:eastAsia="zh-CN"/>
        </w:rPr>
        <w:t>个教学课例参赛，不得多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</w:rPr>
        <w:t>报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4" w:firstLineChars="200"/>
        <w:textAlignment w:val="baseline"/>
        <w:rPr>
          <w:rFonts w:hint="eastAsia" w:ascii="楷体" w:hAnsi="楷体" w:eastAsia="楷体" w:cs="楷体"/>
          <w:b w:val="0"/>
          <w:bCs w:val="0"/>
          <w:spacing w:val="6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pacing w:val="6"/>
        </w:rPr>
        <w:t>（二）内容</w:t>
      </w:r>
      <w:r>
        <w:rPr>
          <w:rFonts w:hint="eastAsia" w:ascii="楷体" w:hAnsi="楷体" w:eastAsia="楷体" w:cs="楷体"/>
          <w:b w:val="0"/>
          <w:bCs w:val="0"/>
          <w:spacing w:val="6"/>
          <w:lang w:eastAsia="zh-CN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CESI仿宋-GB2312" w:hAnsi="CESI仿宋-GB2312" w:eastAsia="CESI仿宋-GB2312" w:cs="CESI仿宋-GB2312"/>
          <w:color w:val="auto"/>
          <w:kern w:val="2"/>
          <w:sz w:val="32"/>
          <w:szCs w:val="32"/>
          <w:lang w:val="en-US" w:eastAsia="zh-CN" w:bidi="ar-SA"/>
          <w14:ligatures w14:val="standardContextual"/>
        </w:rPr>
      </w:pPr>
      <w:r>
        <w:rPr>
          <w:rFonts w:hint="eastAsia" w:ascii="CESI仿宋-GB2312" w:hAnsi="CESI仿宋-GB2312" w:eastAsia="CESI仿宋-GB2312" w:cs="CESI仿宋-GB2312"/>
          <w:color w:val="auto"/>
          <w:kern w:val="2"/>
          <w:sz w:val="32"/>
          <w:szCs w:val="32"/>
          <w:lang w:val="en-US" w:eastAsia="zh-CN" w:bidi="ar-SA"/>
          <w14:ligatures w14:val="standardContextual"/>
        </w:rPr>
        <w:t>重点考察教师运用贵州省教育资源公共服务平台工具“学宝AI”或国家中小学智慧教育平台（以下简称“国家平台”）的AI功能（如虚拟助教、作文批阅等），在“教、学、育、评”四个场景中开展教学的能力。课例内容须包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CESI仿宋-GB2312" w:hAnsi="CESI仿宋-GB2312" w:eastAsia="CESI仿宋-GB2312" w:cs="CESI仿宋-GB2312"/>
          <w:color w:val="auto"/>
          <w:kern w:val="2"/>
          <w:sz w:val="32"/>
          <w:szCs w:val="32"/>
          <w:lang w:val="en-US" w:eastAsia="zh-CN" w:bidi="ar-SA"/>
          <w14:ligatures w14:val="standardContextual"/>
        </w:rPr>
      </w:pPr>
      <w:r>
        <w:rPr>
          <w:rFonts w:hint="eastAsia" w:ascii="CESI仿宋-GB2312" w:hAnsi="CESI仿宋-GB2312" w:eastAsia="CESI仿宋-GB2312" w:cs="CESI仿宋-GB2312"/>
          <w:b/>
          <w:bCs/>
          <w:color w:val="auto"/>
          <w:kern w:val="2"/>
          <w:sz w:val="32"/>
          <w:szCs w:val="32"/>
          <w:lang w:val="en-US" w:eastAsia="zh-CN" w:bidi="ar-SA"/>
          <w14:ligatures w14:val="standardContextual"/>
        </w:rPr>
        <w:t>1.工具嵌入：</w:t>
      </w:r>
      <w:r>
        <w:rPr>
          <w:rFonts w:hint="eastAsia" w:ascii="CESI仿宋-GB2312" w:hAnsi="CESI仿宋-GB2312" w:eastAsia="CESI仿宋-GB2312" w:cs="CESI仿宋-GB2312"/>
          <w:color w:val="auto"/>
          <w:kern w:val="2"/>
          <w:sz w:val="32"/>
          <w:szCs w:val="32"/>
          <w:lang w:val="en-US" w:eastAsia="zh-CN" w:bidi="ar-SA"/>
          <w14:ligatures w14:val="standardContextual"/>
        </w:rPr>
        <w:t xml:space="preserve">在“教、学、育、评”任一环节合理使用AI工具，优先选用适配场景需求的工具。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b/>
          <w:bCs/>
          <w:color w:val="auto"/>
          <w:kern w:val="2"/>
          <w:sz w:val="32"/>
          <w:szCs w:val="32"/>
          <w:lang w:val="en-US" w:eastAsia="zh-CN" w:bidi="ar-SA"/>
          <w14:ligatures w14:val="standardContextual"/>
        </w:rPr>
        <w:t>2.人机协同：</w:t>
      </w:r>
      <w:r>
        <w:rPr>
          <w:rFonts w:hint="eastAsia" w:ascii="CESI仿宋-GB2312" w:hAnsi="CESI仿宋-GB2312" w:eastAsia="CESI仿宋-GB2312" w:cs="CESI仿宋-GB2312"/>
          <w:color w:val="auto"/>
          <w:kern w:val="2"/>
          <w:sz w:val="32"/>
          <w:szCs w:val="32"/>
          <w:lang w:val="en-US" w:eastAsia="zh-CN" w:bidi="ar-SA"/>
          <w14:ligatures w14:val="standardContextual"/>
        </w:rPr>
        <w:t xml:space="preserve">聚焦“学习变革、教学提质、育人进阶、评价增效”任一方向，全面赋能教学各环节，解决传统教学痛点。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60" w:firstLineChars="200"/>
        <w:textAlignment w:val="baseline"/>
        <w:outlineLvl w:val="1"/>
        <w:rPr>
          <w:rFonts w:hint="eastAsia" w:ascii="楷体" w:hAnsi="楷体" w:eastAsia="楷体" w:cs="楷体"/>
          <w:b w:val="0"/>
          <w:bCs w:val="0"/>
          <w:spacing w:val="5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pacing w:val="5"/>
          <w:sz w:val="32"/>
          <w:szCs w:val="32"/>
          <w:lang w:eastAsia="zh-CN"/>
        </w:rPr>
        <w:t>（三）课堂实录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b/>
          <w:bCs/>
          <w:spacing w:val="6"/>
          <w:sz w:val="32"/>
          <w:szCs w:val="32"/>
          <w:lang w:val="en-US" w:eastAsia="zh-CN"/>
        </w:rPr>
        <w:t>1.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  <w:lang w:eastAsia="zh-CN"/>
        </w:rPr>
        <w:t>课堂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</w:rPr>
        <w:t>实录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  <w:lang w:eastAsia="zh-CN"/>
        </w:rPr>
        <w:t>的视频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</w:rPr>
        <w:t>图像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  <w:lang w:eastAsia="zh-CN"/>
        </w:rPr>
        <w:t>和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</w:rPr>
        <w:t>声音清晰、画面稳定、构图合理，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000000" w:themeColor="text1"/>
          <w:spacing w:val="6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录制环境安静无噪音，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</w:rPr>
        <w:t>能全面真实地反映教学情境；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000000" w:themeColor="text1"/>
          <w:spacing w:val="6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含</w:t>
      </w:r>
      <w:r>
        <w:rPr>
          <w:rFonts w:hint="eastAsia" w:ascii="CESI仿宋-GB2312" w:hAnsi="CESI仿宋-GB2312" w:eastAsia="CESI仿宋-GB2312" w:cs="CESI仿宋-GB2312"/>
          <w:b/>
          <w:bCs/>
          <w:color w:val="000000" w:themeColor="text1"/>
          <w:spacing w:val="6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片头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000000" w:themeColor="text1"/>
          <w:spacing w:val="6"/>
          <w:w w:val="98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  <w:t>片头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  <w:t>模板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0F1115"/>
          <w:w w:val="97"/>
          <w:sz w:val="32"/>
          <w:szCs w:val="32"/>
          <w:highlight w:val="none"/>
          <w:lang w:val="en-US" w:eastAsia="zh-CN"/>
        </w:rPr>
        <w:t>登录贵州省教育资源公共服务平台选择对应赛项界面-【通知指南】下载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000000" w:themeColor="text1"/>
          <w:spacing w:val="6"/>
          <w:w w:val="98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制作）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000000" w:themeColor="text1"/>
          <w:spacing w:val="6"/>
          <w:w w:val="98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</w:rPr>
        <w:t>教学环节要有字幕提示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b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000000" w:themeColor="text1"/>
          <w:spacing w:val="6"/>
          <w:w w:val="98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课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  <w:lang w:val="en-US" w:eastAsia="zh-CN"/>
        </w:rPr>
        <w:t>堂实录应保证课堂内容完整，采用“教师讲解+多媒体大屏”形式，全程记录教师授课、学生互动及课堂表现等教学全过程。教师可对课堂中与核心教学内容无关的片段进行加速或剪辑处理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000000" w:themeColor="text1"/>
          <w:spacing w:val="6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。视频画面比例为16:9，大小不超过500M，格式为MP4。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u w:val="none"/>
        </w:rPr>
        <w:t>小学15—20分钟，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t>低于1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t>分钟或超过20分钟将不予评审；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中学20-25分钟，低于20分钟或超过25分钟将不予评审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60" w:firstLineChars="200"/>
        <w:textAlignment w:val="baseline"/>
        <w:outlineLvl w:val="1"/>
        <w:rPr>
          <w:rFonts w:hint="eastAsia" w:ascii="CESI楷体-GB2312" w:hAnsi="CESI楷体-GB2312" w:eastAsia="CESI楷体-GB2312" w:cs="CESI楷体-GB2312"/>
          <w:b w:val="0"/>
          <w:bCs w:val="0"/>
          <w:spacing w:val="5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b w:val="0"/>
          <w:bCs w:val="0"/>
          <w:spacing w:val="5"/>
          <w:sz w:val="32"/>
          <w:szCs w:val="32"/>
          <w:lang w:val="en-US" w:eastAsia="zh-CN"/>
        </w:rPr>
        <w:t>(四)</w:t>
      </w:r>
      <w:r>
        <w:rPr>
          <w:rFonts w:hint="eastAsia" w:ascii="CESI楷体-GB2312" w:hAnsi="CESI楷体-GB2312" w:eastAsia="CESI楷体-GB2312" w:cs="CESI楷体-GB2312"/>
          <w:b w:val="0"/>
          <w:bCs w:val="0"/>
          <w:spacing w:val="5"/>
          <w:sz w:val="32"/>
          <w:szCs w:val="32"/>
        </w:rPr>
        <w:t>其他要求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64" w:firstLineChars="200"/>
        <w:textAlignment w:val="baseline"/>
        <w:rPr>
          <w:rFonts w:hint="eastAsia" w:ascii="方正黑体_GBK" w:hAnsi="方正黑体_GBK" w:eastAsia="方正黑体_GBK" w:cs="方正黑体_GBK"/>
          <w:b w:val="0"/>
          <w:bCs w:val="0"/>
          <w:spacing w:val="5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</w:rPr>
        <w:t>参赛作品有以下问题者，将直接取消参赛资格并通报所在市、县（区）教育行政部门，包括有明显政治性错误或学科概念性错误的；涉嫌抄袭、剽窃、弄虚作假的；报送信息不全或不符合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  <w:lang w:eastAsia="zh-CN"/>
        </w:rPr>
        <w:t>有关</w:t>
      </w:r>
      <w:r>
        <w:rPr>
          <w:rFonts w:hint="eastAsia" w:ascii="CESI仿宋-GB2312" w:hAnsi="CESI仿宋-GB2312" w:eastAsia="CESI仿宋-GB2312" w:cs="CESI仿宋-GB2312"/>
          <w:b w:val="0"/>
          <w:bCs w:val="0"/>
          <w:spacing w:val="6"/>
          <w:sz w:val="32"/>
          <w:szCs w:val="32"/>
        </w:rPr>
        <w:t>报送要求的；参赛作品为往届获奖或其他单位（平台）获奖作品的。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60" w:firstLineChars="200"/>
        <w:textAlignment w:val="baseline"/>
        <w:outlineLvl w:val="1"/>
        <w:rPr>
          <w:rFonts w:hint="eastAsia" w:ascii="黑体" w:hAnsi="黑体" w:eastAsia="黑体" w:cs="黑体"/>
          <w:b w:val="0"/>
          <w:bCs w:val="0"/>
          <w:spacing w:val="5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pacing w:val="5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 w:val="0"/>
          <w:bCs w:val="0"/>
          <w:spacing w:val="5"/>
          <w:sz w:val="32"/>
          <w:szCs w:val="32"/>
          <w:lang w:eastAsia="zh-CN"/>
        </w:rPr>
        <w:t>评分标准</w:t>
      </w:r>
    </w:p>
    <w:tbl>
      <w:tblPr>
        <w:tblStyle w:val="6"/>
        <w:tblW w:w="9058" w:type="dxa"/>
        <w:tblInd w:w="-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6814"/>
        <w:gridCol w:w="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  <w:t>指标</w:t>
            </w:r>
          </w:p>
        </w:tc>
        <w:tc>
          <w:tcPr>
            <w:tcW w:w="681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firstLine="2529" w:firstLineChars="900"/>
              <w:jc w:val="both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  <w14:ligatures w14:val="none"/>
              </w:rPr>
            </w:pPr>
            <w:bookmarkStart w:id="15" w:name="_GoBack"/>
            <w:bookmarkEnd w:id="15"/>
            <w:r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  <w14:ligatures w14:val="none"/>
              </w:rPr>
              <w:t>指标内容</w:t>
            </w:r>
          </w:p>
        </w:tc>
        <w:tc>
          <w:tcPr>
            <w:tcW w:w="8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  <w14:ligatures w14:val="none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5" w:hRule="atLeast"/>
        </w:trPr>
        <w:tc>
          <w:tcPr>
            <w:tcW w:w="14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14:ligatures w14:val="none"/>
              </w:rPr>
              <w:t>教学设计</w:t>
            </w:r>
          </w:p>
        </w:tc>
        <w:tc>
          <w:tcPr>
            <w:tcW w:w="681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1.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紧扣单课时教学内容，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教学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目标明确、重难点突出，符合学段学科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课程标准与教学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要求；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2. 精准嵌入“教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学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育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评”任一场景，优先选用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学宝AI、国家平台AI等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适配场景需求的AI工具，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设计逻辑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清晰体现“人机协同”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理念，且聚焦制定四大应用方向之一，有效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解决传统教学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中的实际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痛点；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3.整体设计兼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具创新性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与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可操作性，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AI工具应用服务教学核心需求，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无技术堆砌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形式化应用问题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 xml:space="preserve">。 </w:t>
            </w:r>
          </w:p>
        </w:tc>
        <w:tc>
          <w:tcPr>
            <w:tcW w:w="8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  <w:lang w:val="en-US" w:eastAsia="zh-CN"/>
                <w14:ligatures w14:val="none"/>
              </w:rPr>
              <w:t>25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9" w:hRule="atLeast"/>
        </w:trPr>
        <w:tc>
          <w:tcPr>
            <w:tcW w:w="14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14:ligatures w14:val="none"/>
              </w:rPr>
              <w:t>课堂实录</w:t>
            </w:r>
          </w:p>
        </w:tc>
        <w:tc>
          <w:tcPr>
            <w:tcW w:w="681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1.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符合视频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制作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技术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规范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，画面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稳定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清晰、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音频无杂音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、字幕规范；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2.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真实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完整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呈现AI工具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课堂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应用全过程，人机协同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关键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环节直观可感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流程完整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3.课堂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教学环节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衔接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流畅，师生互动充分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有效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，AI工具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应用精准服务教学目标达成，助力教学重难点突破；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4.视频内容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无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任何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企业品牌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标识、无商业推广信息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 xml:space="preserve">。 </w:t>
            </w:r>
          </w:p>
        </w:tc>
        <w:tc>
          <w:tcPr>
            <w:tcW w:w="8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25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9" w:hRule="atLeast"/>
        </w:trPr>
        <w:tc>
          <w:tcPr>
            <w:tcW w:w="14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14:ligatures w14:val="none"/>
              </w:rPr>
              <w:t>AI工具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14:ligatures w14:val="none"/>
              </w:rPr>
              <w:t>应用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14:ligatures w14:val="none"/>
              </w:rPr>
            </w:pPr>
          </w:p>
        </w:tc>
        <w:tc>
          <w:tcPr>
            <w:tcW w:w="681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1.AI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工具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选取与教学场景高度适配，应用过程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合理高效，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充分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凸显AI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工具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在对应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教学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场景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中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的核心价值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  <w:t>，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如提升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教学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效率、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实现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个性化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教与学、优化评价方式等；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2.熟练掌握所选AI工具操作方法，应用过程无失误，人机协同节奏适配课堂教学进度，有效提升课堂教学质量与效率。</w:t>
            </w:r>
          </w:p>
        </w:tc>
        <w:tc>
          <w:tcPr>
            <w:tcW w:w="8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20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4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eastAsia="zh-CN"/>
                <w14:ligatures w14:val="none"/>
              </w:rPr>
              <w:t>课件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  <w14:ligatures w14:val="none"/>
              </w:rPr>
              <w:t>质量</w:t>
            </w:r>
          </w:p>
        </w:tc>
        <w:tc>
          <w:tcPr>
            <w:tcW w:w="681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Chars="0"/>
              <w:textAlignment w:val="auto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课件内容准确规范、重难点清晰，教学理念、教学目标与教学实施环节逻辑闭环、衔接顺畅；文字精炼简洁、版式布局合理，素材选用适配教学需求，能有效辅助课堂教学实施与教学目标达成。</w:t>
            </w:r>
          </w:p>
        </w:tc>
        <w:tc>
          <w:tcPr>
            <w:tcW w:w="8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</w:trPr>
        <w:tc>
          <w:tcPr>
            <w:tcW w:w="14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14:ligatures w14:val="none"/>
              </w:rPr>
              <w:t>教学创新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14:ligatures w14:val="none"/>
              </w:rPr>
              <w:t>与成效</w:t>
            </w:r>
          </w:p>
        </w:tc>
        <w:tc>
          <w:tcPr>
            <w:tcW w:w="681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1.构建的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人机协同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教学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模式具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有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创新性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与推广性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，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可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为同类教学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场景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提供可借鉴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  <w:t>的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实践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范式；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Chars="0"/>
              <w:textAlignment w:val="auto"/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2.教学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成效简述客观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详实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，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充分佐证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AI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工具在教学中的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赋能价值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与应用实效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。</w:t>
            </w:r>
          </w:p>
        </w:tc>
        <w:tc>
          <w:tcPr>
            <w:tcW w:w="8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1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0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14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14:ligatures w14:val="none"/>
              </w:rPr>
              <w:t>教学反思</w:t>
            </w:r>
          </w:p>
        </w:tc>
        <w:tc>
          <w:tcPr>
            <w:tcW w:w="681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1.结合课堂实践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反思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AI工具应用情况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，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精准分析工具应用的两点优势与实际存在的问题不足；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2.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针对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AI应用中的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不足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  <w:t>，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提出具体可行的改进方向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与实施措施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，体现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教师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专业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思考与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成长；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3.反思内容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逻辑清晰、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层次分明，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表述规范，无敷衍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  <w14:ligatures w14:val="none"/>
              </w:rPr>
              <w:t>化、形式化表述</w:t>
            </w: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。</w:t>
            </w:r>
          </w:p>
        </w:tc>
        <w:tc>
          <w:tcPr>
            <w:tcW w:w="8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14:ligatures w14:val="none"/>
              </w:rPr>
              <w:t>10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  <w14:ligatures w14:val="none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05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14:ligatures w14:val="none"/>
              </w:rPr>
              <w:t>合计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  <w14:ligatures w14:val="none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  <w14:ligatures w14:val="none"/>
              </w:rPr>
              <w:t>100分</w:t>
            </w:r>
          </w:p>
        </w:tc>
      </w:tr>
    </w:tbl>
    <w:p>
      <w:pPr>
        <w:jc w:val="left"/>
        <w:rPr>
          <w:rFonts w:hint="eastAsia" w:ascii="CESI仿宋-GB2312" w:hAnsi="CESI仿宋-GB2312" w:eastAsia="CESI仿宋-GB2312" w:cs="CESI仿宋-GB2312"/>
          <w:b/>
          <w:bCs w:val="0"/>
          <w:color w:val="auto"/>
          <w:sz w:val="32"/>
          <w:szCs w:val="32"/>
          <w:lang w:eastAsia="zh-CN"/>
        </w:rPr>
      </w:pPr>
    </w:p>
    <w:p>
      <w:pPr>
        <w:jc w:val="left"/>
        <w:rPr>
          <w:rFonts w:hint="eastAsia" w:ascii="CESI仿宋-GB2312" w:hAnsi="CESI仿宋-GB2312" w:eastAsia="CESI仿宋-GB2312" w:cs="CESI仿宋-GB2312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b/>
          <w:bCs w:val="0"/>
          <w:color w:val="auto"/>
          <w:sz w:val="32"/>
          <w:szCs w:val="32"/>
          <w:lang w:eastAsia="zh-CN"/>
        </w:rPr>
        <w:t>附件</w:t>
      </w:r>
      <w:r>
        <w:rPr>
          <w:rFonts w:hint="eastAsia" w:ascii="CESI仿宋-GB2312" w:hAnsi="CESI仿宋-GB2312" w:eastAsia="CESI仿宋-GB2312" w:cs="CESI仿宋-GB2312"/>
          <w:b/>
          <w:bCs w:val="0"/>
          <w:color w:val="auto"/>
          <w:sz w:val="32"/>
          <w:szCs w:val="32"/>
          <w:lang w:val="en-US" w:eastAsia="zh-CN"/>
        </w:rPr>
        <w:t>3-1：</w:t>
      </w:r>
      <w:r>
        <w:rPr>
          <w:rFonts w:hint="eastAsia" w:ascii="CESI仿宋-GB2312" w:hAnsi="CESI仿宋-GB2312" w:eastAsia="CESI仿宋-GB2312" w:cs="CESI仿宋-GB2312"/>
          <w:b/>
          <w:bCs w:val="0"/>
          <w:color w:val="auto"/>
          <w:sz w:val="32"/>
          <w:szCs w:val="32"/>
          <w:lang w:eastAsia="zh-CN"/>
        </w:rPr>
        <w:t>人工智能工具教学实践课例</w:t>
      </w:r>
      <w:r>
        <w:rPr>
          <w:rFonts w:hint="eastAsia" w:ascii="CESI仿宋-GB2312" w:hAnsi="CESI仿宋-GB2312" w:eastAsia="CESI仿宋-GB2312" w:cs="CESI仿宋-GB2312"/>
          <w:b/>
          <w:bCs w:val="0"/>
          <w:color w:val="auto"/>
          <w:sz w:val="32"/>
          <w:szCs w:val="32"/>
          <w:lang w:val="en-US" w:eastAsia="zh-CN"/>
        </w:rPr>
        <w:t>信息表</w:t>
      </w:r>
    </w:p>
    <w:p>
      <w:pPr>
        <w:jc w:val="left"/>
        <w:rPr>
          <w:rFonts w:hint="eastAsia" w:ascii="CESI仿宋-GB2312" w:hAnsi="CESI仿宋-GB2312" w:eastAsia="CESI仿宋-GB2312" w:cs="CESI仿宋-GB2312"/>
          <w:b/>
          <w:bCs w:val="0"/>
          <w:sz w:val="32"/>
          <w:szCs w:val="32"/>
          <w:lang w:val="en-US" w:eastAsia="zh-CN"/>
        </w:rPr>
        <w:sectPr>
          <w:footerReference r:id="rId3" w:type="default"/>
          <w:footerReference r:id="rId4" w:type="even"/>
          <w:pgSz w:w="11906" w:h="16838"/>
          <w:pgMar w:top="1984" w:right="1587" w:bottom="1701" w:left="1587" w:header="0" w:footer="1404" w:gutter="0"/>
          <w:pgNumType w:fmt="decimal"/>
          <w:cols w:space="720" w:num="1"/>
        </w:sectPr>
      </w:pPr>
    </w:p>
    <w:p>
      <w:pPr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附件3-1</w:t>
      </w:r>
    </w:p>
    <w:p>
      <w:pPr>
        <w:jc w:val="center"/>
        <w:rPr>
          <w:rFonts w:hint="eastAsia" w:ascii="Arial" w:hAnsi="Arial" w:eastAsia="等线" w:cs="Arial"/>
          <w:b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人工智能工具教学实践课例信息表</w:t>
      </w:r>
    </w:p>
    <w:p>
      <w:pPr>
        <w:numPr>
          <w:ilvl w:val="0"/>
          <w:numId w:val="1"/>
        </w:numPr>
        <w:jc w:val="both"/>
        <w:outlineLvl w:val="0"/>
        <w:rPr>
          <w:rFonts w:hint="eastAsia" w:ascii="方正黑体_GBK" w:hAnsi="方正黑体_GBK" w:eastAsia="方正黑体_GBK" w:cs="方正黑体_GBK"/>
          <w:b w:val="0"/>
          <w:bCs/>
          <w:color w:val="auto"/>
          <w:sz w:val="36"/>
          <w:szCs w:val="36"/>
        </w:rPr>
      </w:pPr>
      <w:bookmarkStart w:id="0" w:name="_Toc12440"/>
      <w:r>
        <w:rPr>
          <w:rFonts w:hint="eastAsia" w:ascii="方正黑体_GBK" w:hAnsi="方正黑体_GBK" w:eastAsia="方正黑体_GBK" w:cs="方正黑体_GBK"/>
          <w:b w:val="0"/>
          <w:bCs/>
          <w:color w:val="auto"/>
          <w:sz w:val="36"/>
          <w:szCs w:val="36"/>
        </w:rPr>
        <w:t>教学设计</w:t>
      </w:r>
      <w:bookmarkEnd w:id="0"/>
    </w:p>
    <w:tbl>
      <w:tblPr>
        <w:tblStyle w:val="6"/>
        <w:tblW w:w="8921" w:type="dxa"/>
        <w:tblInd w:w="-3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0"/>
        <w:gridCol w:w="6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1" w:type="dxa"/>
            <w:gridSpan w:val="2"/>
            <w:vAlign w:val="top"/>
          </w:tcPr>
          <w:p>
            <w:pPr>
              <w:rPr>
                <w:vertAlign w:val="baseline"/>
              </w:rPr>
            </w:pPr>
            <w:bookmarkStart w:id="1" w:name="heading_2"/>
            <w:bookmarkStart w:id="2" w:name="heading_1"/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  <w:t>（一）作品基本信息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0" w:type="dxa"/>
            <w:vAlign w:val="top"/>
          </w:tcPr>
          <w:p>
            <w:pPr>
              <w:spacing w:before="120" w:after="120" w:line="288" w:lineRule="auto"/>
              <w:ind w:left="0"/>
              <w:jc w:val="left"/>
              <w:rPr>
                <w:vertAlign w:val="baseline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</w:rPr>
              <w:t>作品名称：</w:t>
            </w:r>
          </w:p>
        </w:tc>
        <w:tc>
          <w:tcPr>
            <w:tcW w:w="6381" w:type="dxa"/>
            <w:vAlign w:val="top"/>
          </w:tcPr>
          <w:p>
            <w:pPr>
              <w:rPr>
                <w:rFonts w:hint="eastAsia" w:eastAsia="楷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0" w:type="dxa"/>
            <w:vAlign w:val="top"/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  <w:t>学段和学科：</w:t>
            </w:r>
          </w:p>
        </w:tc>
        <w:tc>
          <w:tcPr>
            <w:tcW w:w="6381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40" w:type="dxa"/>
            <w:vAlign w:val="top"/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</w:rPr>
              <w:t>课时主题：</w:t>
            </w:r>
          </w:p>
        </w:tc>
        <w:tc>
          <w:tcPr>
            <w:tcW w:w="6381" w:type="dxa"/>
            <w:vAlign w:val="top"/>
          </w:tcPr>
          <w:p>
            <w:pPr>
              <w:rPr>
                <w:rFonts w:hint="eastAsia" w:eastAsia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</w:rPr>
              <w:t>课时主题需精准对应教材单课时内容，避免跨课时或主题模糊</w:t>
            </w: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2540" w:type="dxa"/>
            <w:vAlign w:val="top"/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</w:rPr>
              <w:t>AI工具类型：</w:t>
            </w:r>
          </w:p>
        </w:tc>
        <w:tc>
          <w:tcPr>
            <w:tcW w:w="6381" w:type="dxa"/>
            <w:vAlign w:val="top"/>
          </w:tcPr>
          <w:p>
            <w:pPr>
              <w:spacing w:before="120" w:after="120" w:line="288" w:lineRule="auto"/>
              <w:ind w:left="0"/>
              <w:jc w:val="left"/>
              <w:rPr>
                <w:vertAlign w:val="baseline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  <w:t>□国家平台AI □学宝AI □其他（注明）__________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2540" w:type="dxa"/>
            <w:vAlign w:val="top"/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</w:pPr>
            <w:bookmarkStart w:id="3" w:name="heading_3"/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  <w:t>应用场景：</w:t>
            </w:r>
          </w:p>
        </w:tc>
        <w:tc>
          <w:tcPr>
            <w:tcW w:w="6381" w:type="dxa"/>
            <w:vAlign w:val="top"/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  <w:t>□教 □评 □学 □育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2540" w:type="dxa"/>
            <w:vAlign w:val="top"/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  <w:t>人机协同方向</w:t>
            </w:r>
          </w:p>
        </w:tc>
        <w:tc>
          <w:tcPr>
            <w:tcW w:w="6381" w:type="dxa"/>
            <w:vAlign w:val="top"/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  <w:t>□学习变革 □评价增效 □教学提质 □育人进阶</w:t>
            </w: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8921" w:type="dxa"/>
            <w:gridSpan w:val="2"/>
            <w:vAlign w:val="top"/>
          </w:tcPr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  <w:t>（二）教学目标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8" w:hRule="atLeast"/>
        </w:trPr>
        <w:tc>
          <w:tcPr>
            <w:tcW w:w="8921" w:type="dxa"/>
            <w:gridSpan w:val="2"/>
            <w:vAlign w:val="top"/>
          </w:tcPr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  <w:lang w:eastAsia="zh-CN"/>
              </w:rPr>
            </w:pPr>
          </w:p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  <w:lang w:eastAsia="zh-CN"/>
              </w:rPr>
            </w:pPr>
          </w:p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  <w:lang w:eastAsia="zh-CN"/>
              </w:rPr>
            </w:pPr>
          </w:p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  <w:lang w:eastAsia="zh-CN"/>
              </w:rPr>
            </w:pPr>
          </w:p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  <w:lang w:eastAsia="zh-CN"/>
              </w:rPr>
            </w:pPr>
          </w:p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  <w:lang w:eastAsia="zh-CN"/>
              </w:rPr>
            </w:pPr>
          </w:p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  <w:lang w:eastAsia="zh-CN"/>
              </w:rPr>
            </w:pPr>
          </w:p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8921" w:type="dxa"/>
            <w:gridSpan w:val="2"/>
            <w:vAlign w:val="top"/>
          </w:tcPr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  <w:bookmarkStart w:id="4" w:name="heading_4"/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  <w:t>（三）教学重难点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540" w:type="dxa"/>
            <w:vAlign w:val="top"/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</w:rPr>
              <w:t>重点</w:t>
            </w: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</w:rPr>
            </w:pPr>
          </w:p>
        </w:tc>
        <w:tc>
          <w:tcPr>
            <w:tcW w:w="6381" w:type="dxa"/>
            <w:vAlign w:val="top"/>
          </w:tcPr>
          <w:p>
            <w:pPr>
              <w:spacing w:before="300" w:after="120" w:line="288" w:lineRule="auto"/>
              <w:ind w:left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  <w:p>
            <w:pPr>
              <w:spacing w:before="300" w:after="120" w:line="288" w:lineRule="auto"/>
              <w:ind w:left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540" w:type="dxa"/>
            <w:vAlign w:val="top"/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</w:rPr>
              <w:t>难点</w:t>
            </w: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</w:rPr>
            </w:pPr>
          </w:p>
        </w:tc>
        <w:tc>
          <w:tcPr>
            <w:tcW w:w="6381" w:type="dxa"/>
            <w:vAlign w:val="top"/>
          </w:tcPr>
          <w:p>
            <w:pPr>
              <w:spacing w:before="300" w:after="120" w:line="288" w:lineRule="auto"/>
              <w:ind w:left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  <w:p>
            <w:pPr>
              <w:spacing w:before="300" w:after="120" w:line="288" w:lineRule="auto"/>
              <w:ind w:left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540" w:type="dxa"/>
            <w:vAlign w:val="top"/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</w:pPr>
            <w:bookmarkStart w:id="5" w:name="heading_49"/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  <w:t>突破点</w:t>
            </w: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6381" w:type="dxa"/>
            <w:vAlign w:val="top"/>
          </w:tcPr>
          <w:p>
            <w:pPr>
              <w:spacing w:before="300" w:after="120" w:line="288" w:lineRule="auto"/>
              <w:ind w:left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  <w:p>
            <w:pPr>
              <w:spacing w:before="300" w:after="120" w:line="288" w:lineRule="auto"/>
              <w:ind w:left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8921" w:type="dxa"/>
            <w:gridSpan w:val="2"/>
            <w:vAlign w:val="top"/>
          </w:tcPr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  <w:t>（四）传统教学痛点分析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540" w:type="dxa"/>
            <w:vAlign w:val="top"/>
          </w:tcPr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</w:rPr>
              <w:t>教学痛点</w:t>
            </w:r>
          </w:p>
        </w:tc>
        <w:tc>
          <w:tcPr>
            <w:tcW w:w="6381" w:type="dxa"/>
            <w:vAlign w:val="top"/>
          </w:tcPr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  <w:t>痛点描述需具体，体现传统教学的真实困境；</w:t>
            </w:r>
          </w:p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540" w:type="dxa"/>
            <w:vAlign w:val="top"/>
          </w:tcPr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</w:rPr>
              <w:t>AI工具解决逻辑</w:t>
            </w:r>
          </w:p>
        </w:tc>
        <w:tc>
          <w:tcPr>
            <w:tcW w:w="638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  <w:t>解决逻辑需紧扣AI工具的功能，体现“AI工具针对性解决痛点”的核心。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8921" w:type="dxa"/>
            <w:gridSpan w:val="2"/>
            <w:vAlign w:val="top"/>
          </w:tcPr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  <w:bookmarkStart w:id="6" w:name="heading_7"/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  <w:t>（</w:t>
            </w:r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  <w:lang w:eastAsia="zh-CN"/>
              </w:rPr>
              <w:t>五</w:t>
            </w:r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  <w:t>）教学过程设计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2" w:hRule="atLeast"/>
        </w:trPr>
        <w:tc>
          <w:tcPr>
            <w:tcW w:w="892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default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  <w:t>结合教学具体过程详细说明，重点突出AI工具应用，体现“AI工具赋能教学”的逻辑。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8921" w:type="dxa"/>
            <w:gridSpan w:val="2"/>
            <w:vAlign w:val="top"/>
          </w:tcPr>
          <w:p>
            <w:pPr>
              <w:numPr>
                <w:ilvl w:val="0"/>
                <w:numId w:val="0"/>
              </w:numPr>
              <w:spacing w:before="300" w:after="120" w:line="288" w:lineRule="auto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  <w:lang w:val="en-US" w:eastAsia="zh-CN"/>
              </w:rPr>
            </w:pPr>
            <w:bookmarkStart w:id="7" w:name="heading_8"/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  <w:lang w:val="en-US" w:eastAsia="zh-CN"/>
              </w:rPr>
              <w:t>(六)</w:t>
            </w:r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  <w:t>创新点说明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892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  <w:bookmarkStart w:id="8" w:name="heading_56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  <w:t>填写说明：</w:t>
            </w:r>
            <w:bookmarkEnd w:id="8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  <w:t>创新点需紧扣“AI工具应用”“人机协同”，体现与传统教学的差异；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  <w:t>需突出“可复制推广”，符合评选标准中“创新性、可操作性”的要求。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</w:tc>
      </w:tr>
    </w:tbl>
    <w:p/>
    <w:p>
      <w:pPr>
        <w:spacing w:before="320" w:after="120" w:line="288" w:lineRule="auto"/>
        <w:ind w:left="0" w:leftChars="0"/>
        <w:jc w:val="both"/>
        <w:outlineLvl w:val="0"/>
        <w:rPr>
          <w:rFonts w:hint="eastAsia" w:ascii="方正黑体_GBK" w:hAnsi="方正黑体_GBK" w:eastAsia="方正黑体_GBK" w:cs="方正黑体_GBK"/>
          <w:b w:val="0"/>
          <w:bCs/>
          <w:color w:val="auto"/>
          <w:sz w:val="36"/>
          <w:szCs w:val="36"/>
        </w:rPr>
      </w:pPr>
      <w:bookmarkStart w:id="9" w:name="heading_14"/>
      <w:bookmarkStart w:id="10" w:name="_Toc12269"/>
      <w:r>
        <w:rPr>
          <w:rFonts w:hint="eastAsia" w:ascii="方正黑体_GBK" w:hAnsi="方正黑体_GBK" w:eastAsia="方正黑体_GBK" w:cs="方正黑体_GBK"/>
          <w:b w:val="0"/>
          <w:bCs/>
          <w:color w:val="auto"/>
          <w:sz w:val="36"/>
          <w:szCs w:val="36"/>
          <w:lang w:val="en-US" w:eastAsia="zh-CN"/>
        </w:rPr>
        <w:t>二</w:t>
      </w:r>
      <w:r>
        <w:rPr>
          <w:rFonts w:hint="eastAsia" w:ascii="方正黑体_GBK" w:hAnsi="方正黑体_GBK" w:eastAsia="方正黑体_GBK" w:cs="方正黑体_GBK"/>
          <w:b w:val="0"/>
          <w:bCs/>
          <w:color w:val="auto"/>
          <w:sz w:val="36"/>
          <w:szCs w:val="36"/>
        </w:rPr>
        <w:t>、教学反思</w:t>
      </w:r>
      <w:bookmarkEnd w:id="9"/>
      <w:bookmarkEnd w:id="10"/>
    </w:p>
    <w:tbl>
      <w:tblPr>
        <w:tblStyle w:val="6"/>
        <w:tblpPr w:leftFromText="180" w:rightFromText="180" w:vertAnchor="text" w:horzAnchor="page" w:tblpX="1542" w:tblpY="91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3"/>
        <w:gridCol w:w="5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8522" w:type="dxa"/>
            <w:gridSpan w:val="2"/>
            <w:vAlign w:val="top"/>
          </w:tcPr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  <w:lang w:val="en-US" w:eastAsia="zh-CN"/>
              </w:rPr>
              <w:t>一）</w:t>
            </w:r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  <w:t>AI工具应用亮点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2" w:hRule="atLeast"/>
        </w:trPr>
        <w:tc>
          <w:tcPr>
            <w:tcW w:w="8522" w:type="dxa"/>
            <w:gridSpan w:val="2"/>
            <w:vAlign w:val="top"/>
          </w:tcPr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8522" w:type="dxa"/>
            <w:gridSpan w:val="2"/>
            <w:vAlign w:val="top"/>
          </w:tcPr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default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</w:pPr>
            <w:bookmarkStart w:id="11" w:name="heading_16"/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  <w:t>（二）存在问题</w:t>
            </w:r>
            <w:bookmarkEnd w:id="11"/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  <w:lang w:val="en-US" w:eastAsia="zh-CN"/>
              </w:rPr>
              <w:t>和改进措施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2533" w:type="dxa"/>
            <w:vAlign w:val="top"/>
          </w:tcPr>
          <w:p>
            <w:pPr>
              <w:numPr>
                <w:ilvl w:val="0"/>
                <w:numId w:val="0"/>
              </w:numPr>
              <w:spacing w:before="120" w:after="120" w:line="288" w:lineRule="auto"/>
              <w:jc w:val="center"/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  <w:t>存在问题</w:t>
            </w:r>
          </w:p>
        </w:tc>
        <w:tc>
          <w:tcPr>
            <w:tcW w:w="5989" w:type="dxa"/>
            <w:vAlign w:val="top"/>
          </w:tcPr>
          <w:p>
            <w:pPr>
              <w:spacing w:before="300" w:after="120" w:line="288" w:lineRule="auto"/>
              <w:ind w:left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  <w:p>
            <w:pPr>
              <w:spacing w:before="300" w:after="120" w:line="288" w:lineRule="auto"/>
              <w:ind w:left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  <w:p>
            <w:pPr>
              <w:spacing w:before="300" w:after="120" w:line="288" w:lineRule="auto"/>
              <w:ind w:left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2533" w:type="dxa"/>
            <w:vAlign w:val="top"/>
          </w:tcPr>
          <w:p>
            <w:pPr>
              <w:numPr>
                <w:ilvl w:val="0"/>
                <w:numId w:val="0"/>
              </w:numPr>
              <w:spacing w:before="120" w:after="120" w:line="288" w:lineRule="auto"/>
              <w:jc w:val="center"/>
              <w:rPr>
                <w:rFonts w:hint="default" w:ascii="楷体" w:hAnsi="楷体" w:eastAsia="楷体" w:cs="楷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  <w:t>改进措施</w:t>
            </w:r>
          </w:p>
        </w:tc>
        <w:tc>
          <w:tcPr>
            <w:tcW w:w="5989" w:type="dxa"/>
            <w:vAlign w:val="top"/>
          </w:tcPr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8522" w:type="dxa"/>
            <w:gridSpan w:val="2"/>
            <w:vAlign w:val="top"/>
          </w:tcPr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color w:val="FF0000"/>
                <w:sz w:val="28"/>
                <w:szCs w:val="28"/>
              </w:rPr>
            </w:pPr>
            <w:bookmarkStart w:id="12" w:name="heading_73"/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  <w:t>（</w:t>
            </w:r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  <w:lang w:val="en-US" w:eastAsia="zh-CN"/>
              </w:rPr>
              <w:t>三</w:t>
            </w:r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  <w:t>）</w:t>
            </w:r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  <w:lang w:val="en-US" w:eastAsia="zh-CN"/>
              </w:rPr>
              <w:t>AI工具</w:t>
            </w:r>
            <w:r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  <w:t>推广应用建议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8522" w:type="dxa"/>
            <w:gridSpan w:val="2"/>
            <w:vAlign w:val="top"/>
          </w:tcPr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</w:rPr>
            </w:pP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楷体" w:hAnsi="楷体" w:eastAsia="楷体" w:cs="楷体"/>
                <w:color w:val="FF0000"/>
                <w:sz w:val="28"/>
                <w:szCs w:val="28"/>
              </w:rPr>
            </w:pPr>
          </w:p>
        </w:tc>
      </w:tr>
    </w:tbl>
    <w:p/>
    <w:p>
      <w:pPr>
        <w:spacing w:before="320" w:after="120" w:line="288" w:lineRule="auto"/>
        <w:ind w:left="0" w:leftChars="0"/>
        <w:jc w:val="both"/>
        <w:outlineLvl w:val="0"/>
        <w:rPr>
          <w:rFonts w:hint="eastAsia" w:ascii="方正黑体_GBK" w:hAnsi="方正黑体_GBK" w:eastAsia="方正黑体_GBK" w:cs="方正黑体_GBK"/>
          <w:b w:val="0"/>
          <w:bCs/>
          <w:color w:val="auto"/>
          <w:sz w:val="36"/>
          <w:szCs w:val="36"/>
          <w:lang w:eastAsia="zh-CN"/>
        </w:rPr>
      </w:pPr>
      <w:bookmarkStart w:id="13" w:name="heading_19"/>
      <w:bookmarkStart w:id="14" w:name="_Toc30467"/>
      <w:r>
        <w:rPr>
          <w:rFonts w:hint="eastAsia" w:ascii="方正黑体_GBK" w:hAnsi="方正黑体_GBK" w:eastAsia="方正黑体_GBK" w:cs="方正黑体_GBK"/>
          <w:b w:val="0"/>
          <w:bCs/>
          <w:color w:val="auto"/>
          <w:sz w:val="36"/>
          <w:szCs w:val="36"/>
          <w:lang w:eastAsia="zh-CN"/>
        </w:rPr>
        <w:t>三</w:t>
      </w:r>
      <w:r>
        <w:rPr>
          <w:rFonts w:hint="eastAsia" w:ascii="方正黑体_GBK" w:hAnsi="方正黑体_GBK" w:eastAsia="方正黑体_GBK" w:cs="方正黑体_GBK"/>
          <w:b w:val="0"/>
          <w:bCs/>
          <w:color w:val="auto"/>
          <w:sz w:val="36"/>
          <w:szCs w:val="36"/>
        </w:rPr>
        <w:t>、</w:t>
      </w:r>
      <w:r>
        <w:rPr>
          <w:rFonts w:hint="eastAsia" w:ascii="方正黑体_GBK" w:hAnsi="方正黑体_GBK" w:eastAsia="方正黑体_GBK" w:cs="方正黑体_GBK"/>
          <w:b w:val="0"/>
          <w:bCs/>
          <w:color w:val="auto"/>
          <w:sz w:val="36"/>
          <w:szCs w:val="36"/>
          <w:lang w:eastAsia="zh-CN"/>
        </w:rPr>
        <w:t>应用</w:t>
      </w:r>
      <w:r>
        <w:rPr>
          <w:rFonts w:hint="eastAsia" w:ascii="方正黑体_GBK" w:hAnsi="方正黑体_GBK" w:eastAsia="方正黑体_GBK" w:cs="方正黑体_GBK"/>
          <w:b w:val="0"/>
          <w:bCs/>
          <w:color w:val="auto"/>
          <w:sz w:val="36"/>
          <w:szCs w:val="36"/>
        </w:rPr>
        <w:t>成效</w:t>
      </w:r>
      <w:bookmarkEnd w:id="13"/>
      <w:bookmarkEnd w:id="14"/>
      <w:r>
        <w:rPr>
          <w:rFonts w:hint="eastAsia" w:ascii="方正黑体_GBK" w:hAnsi="方正黑体_GBK" w:eastAsia="方正黑体_GBK" w:cs="方正黑体_GBK"/>
          <w:b w:val="0"/>
          <w:bCs/>
          <w:color w:val="auto"/>
          <w:sz w:val="36"/>
          <w:szCs w:val="36"/>
          <w:lang w:eastAsia="zh-CN"/>
        </w:rPr>
        <w:t>说明</w:t>
      </w:r>
    </w:p>
    <w:tbl>
      <w:tblPr>
        <w:tblStyle w:val="6"/>
        <w:tblpPr w:leftFromText="180" w:rightFromText="180" w:vertAnchor="text" w:horzAnchor="page" w:tblpX="1742" w:tblpY="100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4" w:hRule="atLeast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after="120" w:line="280" w:lineRule="exact"/>
              <w:jc w:val="left"/>
              <w:textAlignment w:val="auto"/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eastAsia="zh-CN"/>
              </w:rPr>
              <w:t>填表说明：突出体现</w:t>
            </w: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  <w:t>AI工具赋能价值，可</w:t>
            </w: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</w:rPr>
              <w:t>结合教学实际描述，避免空泛的“提升能力”“优化教学”表述。</w:t>
            </w:r>
          </w:p>
          <w:p>
            <w:pPr>
              <w:spacing w:before="320" w:after="120" w:line="288" w:lineRule="auto"/>
              <w:ind w:left="0"/>
              <w:jc w:val="both"/>
              <w:outlineLvl w:val="1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  <w:p>
            <w:pPr>
              <w:spacing w:before="300" w:after="120" w:line="288" w:lineRule="auto"/>
              <w:ind w:left="0" w:leftChars="0"/>
              <w:jc w:val="left"/>
              <w:outlineLvl w:val="9"/>
              <w:rPr>
                <w:rFonts w:hint="eastAsia" w:ascii="楷体" w:hAnsi="楷体" w:eastAsia="楷体" w:cs="楷体"/>
                <w:b/>
                <w:color w:val="auto"/>
                <w:sz w:val="36"/>
                <w:szCs w:val="28"/>
              </w:rPr>
            </w:pPr>
          </w:p>
        </w:tc>
      </w:tr>
    </w:tbl>
    <w:p/>
    <w:bookmarkEnd w:id="2"/>
    <w:p>
      <w:pPr>
        <w:jc w:val="center"/>
        <w:rPr>
          <w:rFonts w:hint="eastAsia" w:ascii="楷体" w:hAnsi="楷体" w:eastAsia="楷体" w:cs="楷体"/>
          <w:b w:val="0"/>
          <w:bCs/>
          <w:color w:val="0000FF"/>
          <w:sz w:val="24"/>
          <w:szCs w:val="1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0000FF"/>
          <w:sz w:val="24"/>
          <w:szCs w:val="18"/>
          <w:lang w:val="en-US" w:eastAsia="zh-CN"/>
        </w:rPr>
        <w:t>填写说明：所有内容需填写完整不得漏项，填写时请删掉红色的说明文字。</w:t>
      </w:r>
    </w:p>
    <w:p>
      <w:pPr>
        <w:jc w:val="both"/>
        <w:rPr>
          <w:rFonts w:hint="eastAsia" w:ascii="楷体" w:hAnsi="楷体" w:eastAsia="楷体" w:cs="楷体"/>
          <w:b/>
          <w:color w:val="auto"/>
          <w:sz w:val="44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altName w:val="Noto Serif CJK JP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等线">
    <w:altName w:val="汉仪中圆B5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erif CJK JP">
    <w:panose1 w:val="02020400000000000000"/>
    <w:charset w:val="86"/>
    <w:family w:val="auto"/>
    <w:pitch w:val="default"/>
    <w:sig w:usb0="30000083" w:usb1="2BDF3C10" w:usb2="00000016" w:usb3="00000000" w:csb0="602E0107" w:csb1="00000000"/>
  </w:font>
  <w:font w:name="汉仪中圆B5">
    <w:panose1 w:val="02010600000101010101"/>
    <w:charset w:val="88"/>
    <w:family w:val="auto"/>
    <w:pitch w:val="default"/>
    <w:sig w:usb0="00000001" w:usb1="080E0800" w:usb2="00000002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9" w:lineRule="auto"/>
      <w:ind w:left="349"/>
      <w:rPr>
        <w:rFonts w:ascii="Arial" w:hAnsi="Arial" w:eastAsia="Arial" w:cs="Arial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CzSVju0AAAAAUBAAAPAAAAAAAAAAEAIAAAADgAAABkcnMvZG93bnJldi54bWxQSwECFAAU&#10;AAAACACHTuJASQizEBwCAAApBAAADgAAAAAAAAABACAAAAA1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EA4B8"/>
    <w:multiLevelType w:val="singleLevel"/>
    <w:tmpl w:val="6CEEA4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false"/>
  <w:bordersDoNotSurroundFooter w:val="false"/>
  <w:documentProtection w:enforcement="0"/>
  <w:defaultTabStop w:val="420"/>
  <w:evenAndOddHeaders w:val="true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25EBD"/>
    <w:rsid w:val="00EA7039"/>
    <w:rsid w:val="02642105"/>
    <w:rsid w:val="02B04EBD"/>
    <w:rsid w:val="02BA203E"/>
    <w:rsid w:val="02D05560"/>
    <w:rsid w:val="059E7B97"/>
    <w:rsid w:val="05D47115"/>
    <w:rsid w:val="0600602A"/>
    <w:rsid w:val="06047FBB"/>
    <w:rsid w:val="0654247F"/>
    <w:rsid w:val="06EE4206"/>
    <w:rsid w:val="070E6657"/>
    <w:rsid w:val="079E79DA"/>
    <w:rsid w:val="07F379B4"/>
    <w:rsid w:val="08167EB9"/>
    <w:rsid w:val="098552F6"/>
    <w:rsid w:val="099166EA"/>
    <w:rsid w:val="0A996ABB"/>
    <w:rsid w:val="0AEB1110"/>
    <w:rsid w:val="0C9F01D7"/>
    <w:rsid w:val="0CB35CD6"/>
    <w:rsid w:val="0CEA5470"/>
    <w:rsid w:val="0D1549A0"/>
    <w:rsid w:val="0D5549B0"/>
    <w:rsid w:val="0D7A67F4"/>
    <w:rsid w:val="0DED346A"/>
    <w:rsid w:val="0DF3D335"/>
    <w:rsid w:val="0E1F207C"/>
    <w:rsid w:val="0E4D215A"/>
    <w:rsid w:val="0E98626B"/>
    <w:rsid w:val="0F954AEB"/>
    <w:rsid w:val="0FE663C2"/>
    <w:rsid w:val="10A96C25"/>
    <w:rsid w:val="10B243FA"/>
    <w:rsid w:val="10D75D0B"/>
    <w:rsid w:val="10E16B8A"/>
    <w:rsid w:val="111B02EE"/>
    <w:rsid w:val="11446B5C"/>
    <w:rsid w:val="117619C8"/>
    <w:rsid w:val="122D70C1"/>
    <w:rsid w:val="12394ECF"/>
    <w:rsid w:val="13741F37"/>
    <w:rsid w:val="14067033"/>
    <w:rsid w:val="14AA20B4"/>
    <w:rsid w:val="14BC6B05"/>
    <w:rsid w:val="15041339"/>
    <w:rsid w:val="1534197E"/>
    <w:rsid w:val="17C75FE2"/>
    <w:rsid w:val="17FC56A7"/>
    <w:rsid w:val="18103A1A"/>
    <w:rsid w:val="18585F38"/>
    <w:rsid w:val="1AFEE52E"/>
    <w:rsid w:val="1B154000"/>
    <w:rsid w:val="1B217AEF"/>
    <w:rsid w:val="1B250333"/>
    <w:rsid w:val="1B3857CF"/>
    <w:rsid w:val="1B55264E"/>
    <w:rsid w:val="1B8C2514"/>
    <w:rsid w:val="1B912FF3"/>
    <w:rsid w:val="1C776E36"/>
    <w:rsid w:val="1CF11975"/>
    <w:rsid w:val="1CF33ECD"/>
    <w:rsid w:val="1D4B6620"/>
    <w:rsid w:val="1DB21FDA"/>
    <w:rsid w:val="1EFDA1AD"/>
    <w:rsid w:val="1F2B3DF2"/>
    <w:rsid w:val="1F364C51"/>
    <w:rsid w:val="1F4E5E2B"/>
    <w:rsid w:val="1F5439BD"/>
    <w:rsid w:val="1F881244"/>
    <w:rsid w:val="1FEF24A3"/>
    <w:rsid w:val="1FF18C3D"/>
    <w:rsid w:val="1FFF7505"/>
    <w:rsid w:val="201E64EA"/>
    <w:rsid w:val="203767C6"/>
    <w:rsid w:val="20AA3801"/>
    <w:rsid w:val="210C7246"/>
    <w:rsid w:val="21B87493"/>
    <w:rsid w:val="221855EF"/>
    <w:rsid w:val="22925F36"/>
    <w:rsid w:val="234849BD"/>
    <w:rsid w:val="23BF3B8A"/>
    <w:rsid w:val="25253091"/>
    <w:rsid w:val="253A3325"/>
    <w:rsid w:val="254279E5"/>
    <w:rsid w:val="25547599"/>
    <w:rsid w:val="2689233E"/>
    <w:rsid w:val="26FB22FC"/>
    <w:rsid w:val="271B474C"/>
    <w:rsid w:val="278247CB"/>
    <w:rsid w:val="27F624F0"/>
    <w:rsid w:val="27FF406E"/>
    <w:rsid w:val="28B22E8E"/>
    <w:rsid w:val="28BF5B1A"/>
    <w:rsid w:val="28EF33B5"/>
    <w:rsid w:val="28F919B1"/>
    <w:rsid w:val="29C868AD"/>
    <w:rsid w:val="2A5E5246"/>
    <w:rsid w:val="2B6A1DAB"/>
    <w:rsid w:val="2BF52D96"/>
    <w:rsid w:val="2BFB6F66"/>
    <w:rsid w:val="2CFF066C"/>
    <w:rsid w:val="2D09353E"/>
    <w:rsid w:val="2D7FB947"/>
    <w:rsid w:val="2E4B1DBB"/>
    <w:rsid w:val="2F126434"/>
    <w:rsid w:val="2F9E6A4D"/>
    <w:rsid w:val="2FBF1B2E"/>
    <w:rsid w:val="2FF95846"/>
    <w:rsid w:val="2FFFC182"/>
    <w:rsid w:val="3021372E"/>
    <w:rsid w:val="302A1EA4"/>
    <w:rsid w:val="30874C00"/>
    <w:rsid w:val="30D20571"/>
    <w:rsid w:val="313E79B5"/>
    <w:rsid w:val="315F16D9"/>
    <w:rsid w:val="31E340B8"/>
    <w:rsid w:val="327F2033"/>
    <w:rsid w:val="32D85E76"/>
    <w:rsid w:val="342235BE"/>
    <w:rsid w:val="34770B77"/>
    <w:rsid w:val="34A51AF9"/>
    <w:rsid w:val="34AE542D"/>
    <w:rsid w:val="34BA16AF"/>
    <w:rsid w:val="35154A57"/>
    <w:rsid w:val="352275ED"/>
    <w:rsid w:val="35386E11"/>
    <w:rsid w:val="363755D7"/>
    <w:rsid w:val="36AB433D"/>
    <w:rsid w:val="374970B3"/>
    <w:rsid w:val="388F0AF6"/>
    <w:rsid w:val="38FB059D"/>
    <w:rsid w:val="390019F4"/>
    <w:rsid w:val="3914724D"/>
    <w:rsid w:val="3A3E27D3"/>
    <w:rsid w:val="3A7D2151"/>
    <w:rsid w:val="3B710987"/>
    <w:rsid w:val="3CB7686D"/>
    <w:rsid w:val="3CC50F8A"/>
    <w:rsid w:val="3CD42DC9"/>
    <w:rsid w:val="3CDC62D4"/>
    <w:rsid w:val="3DCE0312"/>
    <w:rsid w:val="3DF06474"/>
    <w:rsid w:val="3E3A575D"/>
    <w:rsid w:val="3E6F0A70"/>
    <w:rsid w:val="3E7D3052"/>
    <w:rsid w:val="3E886713"/>
    <w:rsid w:val="3EA42E21"/>
    <w:rsid w:val="3EECC7B6"/>
    <w:rsid w:val="3EFA606F"/>
    <w:rsid w:val="3F7CA5B2"/>
    <w:rsid w:val="3FFE9C4A"/>
    <w:rsid w:val="3FFF6586"/>
    <w:rsid w:val="40376CC9"/>
    <w:rsid w:val="40C941BF"/>
    <w:rsid w:val="411E6561"/>
    <w:rsid w:val="41540B2E"/>
    <w:rsid w:val="41591116"/>
    <w:rsid w:val="419B050B"/>
    <w:rsid w:val="421B164C"/>
    <w:rsid w:val="42D31F27"/>
    <w:rsid w:val="42F60321"/>
    <w:rsid w:val="434B7D0F"/>
    <w:rsid w:val="436112E1"/>
    <w:rsid w:val="43853221"/>
    <w:rsid w:val="439107E5"/>
    <w:rsid w:val="43B9111D"/>
    <w:rsid w:val="44FF34A7"/>
    <w:rsid w:val="45554E75"/>
    <w:rsid w:val="45C67B21"/>
    <w:rsid w:val="4629258A"/>
    <w:rsid w:val="46AF05B5"/>
    <w:rsid w:val="46B300A5"/>
    <w:rsid w:val="46E7B496"/>
    <w:rsid w:val="46FDC416"/>
    <w:rsid w:val="475E05BD"/>
    <w:rsid w:val="47DE7578"/>
    <w:rsid w:val="48515DC8"/>
    <w:rsid w:val="49BE123B"/>
    <w:rsid w:val="4B2E62AA"/>
    <w:rsid w:val="4B6422B6"/>
    <w:rsid w:val="4B7F2C4C"/>
    <w:rsid w:val="4C59349D"/>
    <w:rsid w:val="4C932379"/>
    <w:rsid w:val="4CB37B54"/>
    <w:rsid w:val="4CEB5FE4"/>
    <w:rsid w:val="4CF80F08"/>
    <w:rsid w:val="4D0A29E9"/>
    <w:rsid w:val="4D0F1DE0"/>
    <w:rsid w:val="4D181786"/>
    <w:rsid w:val="4D52373D"/>
    <w:rsid w:val="4D826A23"/>
    <w:rsid w:val="4DC932F8"/>
    <w:rsid w:val="4EAA7FE0"/>
    <w:rsid w:val="4EAB2643"/>
    <w:rsid w:val="4F432B02"/>
    <w:rsid w:val="4FEFCC84"/>
    <w:rsid w:val="50A218B6"/>
    <w:rsid w:val="50DD28EE"/>
    <w:rsid w:val="50E851F9"/>
    <w:rsid w:val="50F87728"/>
    <w:rsid w:val="5148350E"/>
    <w:rsid w:val="51C469DB"/>
    <w:rsid w:val="5201260D"/>
    <w:rsid w:val="52A03BD4"/>
    <w:rsid w:val="53521325"/>
    <w:rsid w:val="53BF62DB"/>
    <w:rsid w:val="54FC70BB"/>
    <w:rsid w:val="55210985"/>
    <w:rsid w:val="553FC8A8"/>
    <w:rsid w:val="556A0E01"/>
    <w:rsid w:val="5578F43F"/>
    <w:rsid w:val="55AC288F"/>
    <w:rsid w:val="56205B1B"/>
    <w:rsid w:val="562C577E"/>
    <w:rsid w:val="56671199"/>
    <w:rsid w:val="56674A08"/>
    <w:rsid w:val="567FCA55"/>
    <w:rsid w:val="57664CC0"/>
    <w:rsid w:val="5771305F"/>
    <w:rsid w:val="57CD1823"/>
    <w:rsid w:val="57D37708"/>
    <w:rsid w:val="58D2085F"/>
    <w:rsid w:val="59611C60"/>
    <w:rsid w:val="597FDBCF"/>
    <w:rsid w:val="5A1A070F"/>
    <w:rsid w:val="5A3B0686"/>
    <w:rsid w:val="5CE90B74"/>
    <w:rsid w:val="5CFFA4AA"/>
    <w:rsid w:val="5D366373"/>
    <w:rsid w:val="5DFD8B51"/>
    <w:rsid w:val="5E1B6804"/>
    <w:rsid w:val="5E1D07CE"/>
    <w:rsid w:val="5E6A153A"/>
    <w:rsid w:val="5E6B30E5"/>
    <w:rsid w:val="5EC62C14"/>
    <w:rsid w:val="5ED11193"/>
    <w:rsid w:val="5EEEE555"/>
    <w:rsid w:val="5EFD4774"/>
    <w:rsid w:val="5F6E1296"/>
    <w:rsid w:val="5F7A97FD"/>
    <w:rsid w:val="5FAFAD07"/>
    <w:rsid w:val="5FDF4B5C"/>
    <w:rsid w:val="5FE9FC21"/>
    <w:rsid w:val="600532C8"/>
    <w:rsid w:val="61441D84"/>
    <w:rsid w:val="617534C7"/>
    <w:rsid w:val="61D10897"/>
    <w:rsid w:val="620F6680"/>
    <w:rsid w:val="62540537"/>
    <w:rsid w:val="62683FE2"/>
    <w:rsid w:val="628D57F7"/>
    <w:rsid w:val="6292105F"/>
    <w:rsid w:val="631F28F3"/>
    <w:rsid w:val="638B7E4C"/>
    <w:rsid w:val="65827169"/>
    <w:rsid w:val="65902097"/>
    <w:rsid w:val="65984860"/>
    <w:rsid w:val="66601527"/>
    <w:rsid w:val="66AC5B1C"/>
    <w:rsid w:val="66BFE8AB"/>
    <w:rsid w:val="67515045"/>
    <w:rsid w:val="67AF393B"/>
    <w:rsid w:val="67EE44CE"/>
    <w:rsid w:val="680074AC"/>
    <w:rsid w:val="686032D6"/>
    <w:rsid w:val="69220B26"/>
    <w:rsid w:val="69877065"/>
    <w:rsid w:val="69E440D1"/>
    <w:rsid w:val="69FF4C77"/>
    <w:rsid w:val="6A6908F7"/>
    <w:rsid w:val="6A75729C"/>
    <w:rsid w:val="6AC16985"/>
    <w:rsid w:val="6B166CD1"/>
    <w:rsid w:val="6BE02E3B"/>
    <w:rsid w:val="6CA67BE1"/>
    <w:rsid w:val="6D536141"/>
    <w:rsid w:val="6D59784F"/>
    <w:rsid w:val="6D736D4F"/>
    <w:rsid w:val="6D7B106D"/>
    <w:rsid w:val="6D943EDD"/>
    <w:rsid w:val="6E6B6D0E"/>
    <w:rsid w:val="6E7F30A9"/>
    <w:rsid w:val="6EC786C0"/>
    <w:rsid w:val="6EE98248"/>
    <w:rsid w:val="6EEA5CD7"/>
    <w:rsid w:val="6EEFA16C"/>
    <w:rsid w:val="6F0E2A6F"/>
    <w:rsid w:val="6F7F93A0"/>
    <w:rsid w:val="6F825CC0"/>
    <w:rsid w:val="6F912DCA"/>
    <w:rsid w:val="6F9E1043"/>
    <w:rsid w:val="6FDF20BC"/>
    <w:rsid w:val="6FE31297"/>
    <w:rsid w:val="6FE3436F"/>
    <w:rsid w:val="6FF2313D"/>
    <w:rsid w:val="70BC5C25"/>
    <w:rsid w:val="70D311C0"/>
    <w:rsid w:val="70E13973"/>
    <w:rsid w:val="70F21D21"/>
    <w:rsid w:val="717209D9"/>
    <w:rsid w:val="71A5490B"/>
    <w:rsid w:val="71AF5C9F"/>
    <w:rsid w:val="737E5413"/>
    <w:rsid w:val="73D124C2"/>
    <w:rsid w:val="74597C2E"/>
    <w:rsid w:val="7501454E"/>
    <w:rsid w:val="76236741"/>
    <w:rsid w:val="765794EA"/>
    <w:rsid w:val="76BFB4FD"/>
    <w:rsid w:val="76DA9FEA"/>
    <w:rsid w:val="76F7719B"/>
    <w:rsid w:val="76FA3435"/>
    <w:rsid w:val="779F004E"/>
    <w:rsid w:val="779F859E"/>
    <w:rsid w:val="77BB5FCE"/>
    <w:rsid w:val="77C41863"/>
    <w:rsid w:val="785B5D23"/>
    <w:rsid w:val="787F273E"/>
    <w:rsid w:val="78A99E79"/>
    <w:rsid w:val="78FF673F"/>
    <w:rsid w:val="79112886"/>
    <w:rsid w:val="79748238"/>
    <w:rsid w:val="797F7CAD"/>
    <w:rsid w:val="798474FC"/>
    <w:rsid w:val="79AF8D56"/>
    <w:rsid w:val="79DE5086"/>
    <w:rsid w:val="79DF8EF2"/>
    <w:rsid w:val="7A860E77"/>
    <w:rsid w:val="7B3D5BB4"/>
    <w:rsid w:val="7BEF05C0"/>
    <w:rsid w:val="7BF769C2"/>
    <w:rsid w:val="7BF7FAE9"/>
    <w:rsid w:val="7C02295A"/>
    <w:rsid w:val="7C1270C2"/>
    <w:rsid w:val="7CAAF085"/>
    <w:rsid w:val="7CDF45B3"/>
    <w:rsid w:val="7CE50209"/>
    <w:rsid w:val="7D16492A"/>
    <w:rsid w:val="7D657644"/>
    <w:rsid w:val="7D6F80F4"/>
    <w:rsid w:val="7DCF8868"/>
    <w:rsid w:val="7DD115EC"/>
    <w:rsid w:val="7DE54ADD"/>
    <w:rsid w:val="7E1A3F8B"/>
    <w:rsid w:val="7E3B4BE2"/>
    <w:rsid w:val="7E7F1116"/>
    <w:rsid w:val="7E7F3C15"/>
    <w:rsid w:val="7E97382D"/>
    <w:rsid w:val="7EE7F1F5"/>
    <w:rsid w:val="7EEB3A37"/>
    <w:rsid w:val="7EFE4EC7"/>
    <w:rsid w:val="7F3F6368"/>
    <w:rsid w:val="7F44E5DC"/>
    <w:rsid w:val="7F75BB41"/>
    <w:rsid w:val="7F7B1901"/>
    <w:rsid w:val="7F7FC1DF"/>
    <w:rsid w:val="7F936639"/>
    <w:rsid w:val="7F9C7841"/>
    <w:rsid w:val="7F9F4836"/>
    <w:rsid w:val="7FBD3580"/>
    <w:rsid w:val="7FCD2AA2"/>
    <w:rsid w:val="7FCF6BA8"/>
    <w:rsid w:val="7FE11EA4"/>
    <w:rsid w:val="7FE9AAA8"/>
    <w:rsid w:val="7FEC5D8E"/>
    <w:rsid w:val="7FF4F4BB"/>
    <w:rsid w:val="7FF681AD"/>
    <w:rsid w:val="7FFCDAE4"/>
    <w:rsid w:val="7FFE67D0"/>
    <w:rsid w:val="7FFFB240"/>
    <w:rsid w:val="7FFFD2B0"/>
    <w:rsid w:val="8DD73628"/>
    <w:rsid w:val="A7BE1FCE"/>
    <w:rsid w:val="AFAB99C5"/>
    <w:rsid w:val="B23A3AD4"/>
    <w:rsid w:val="B65D0299"/>
    <w:rsid w:val="B7BFF1D6"/>
    <w:rsid w:val="B9F12054"/>
    <w:rsid w:val="B9FD0AF5"/>
    <w:rsid w:val="BBEF23C5"/>
    <w:rsid w:val="BCFDC570"/>
    <w:rsid w:val="BE3B84AD"/>
    <w:rsid w:val="BF6FAFB2"/>
    <w:rsid w:val="BFDBADDC"/>
    <w:rsid w:val="BFFD1625"/>
    <w:rsid w:val="C9FB6C9F"/>
    <w:rsid w:val="D0F5CCE4"/>
    <w:rsid w:val="D5FBD896"/>
    <w:rsid w:val="D65A6801"/>
    <w:rsid w:val="D7D89E4B"/>
    <w:rsid w:val="D7E6F41B"/>
    <w:rsid w:val="DBDBCEC9"/>
    <w:rsid w:val="DBFF3063"/>
    <w:rsid w:val="DCFB4204"/>
    <w:rsid w:val="DD679CE6"/>
    <w:rsid w:val="DDDE68DB"/>
    <w:rsid w:val="DDFB27E6"/>
    <w:rsid w:val="DDFE467E"/>
    <w:rsid w:val="DE6F8044"/>
    <w:rsid w:val="DE71EB65"/>
    <w:rsid w:val="DE9DADAE"/>
    <w:rsid w:val="DFA755CB"/>
    <w:rsid w:val="DFDDB8D5"/>
    <w:rsid w:val="DFFDF971"/>
    <w:rsid w:val="DFFF88F2"/>
    <w:rsid w:val="E177D80A"/>
    <w:rsid w:val="E2B4D558"/>
    <w:rsid w:val="E33BB8D4"/>
    <w:rsid w:val="E6EF67F0"/>
    <w:rsid w:val="E7445398"/>
    <w:rsid w:val="E77990D5"/>
    <w:rsid w:val="E8DE9919"/>
    <w:rsid w:val="EB3B8992"/>
    <w:rsid w:val="EB5883CF"/>
    <w:rsid w:val="EB6C46D2"/>
    <w:rsid w:val="EBBFE0A0"/>
    <w:rsid w:val="EDFEB838"/>
    <w:rsid w:val="EF77328F"/>
    <w:rsid w:val="EFEFA0F4"/>
    <w:rsid w:val="EFF50C26"/>
    <w:rsid w:val="F3BDFCA6"/>
    <w:rsid w:val="F3CE6471"/>
    <w:rsid w:val="F43F3836"/>
    <w:rsid w:val="F67F7E81"/>
    <w:rsid w:val="F759216B"/>
    <w:rsid w:val="F7AFF3C8"/>
    <w:rsid w:val="F977A990"/>
    <w:rsid w:val="FBA7E773"/>
    <w:rsid w:val="FBFF3880"/>
    <w:rsid w:val="FCCECA23"/>
    <w:rsid w:val="FCFBAC7D"/>
    <w:rsid w:val="FCFFF7B6"/>
    <w:rsid w:val="FD6F9732"/>
    <w:rsid w:val="FDAFD9E4"/>
    <w:rsid w:val="FDB7A1A7"/>
    <w:rsid w:val="FDDBB944"/>
    <w:rsid w:val="FDFE9965"/>
    <w:rsid w:val="FE3683EE"/>
    <w:rsid w:val="FE3D2E47"/>
    <w:rsid w:val="FE8F0D6F"/>
    <w:rsid w:val="FEDFF4E9"/>
    <w:rsid w:val="FF5FA5D8"/>
    <w:rsid w:val="FF6FE849"/>
    <w:rsid w:val="FF7D80F6"/>
    <w:rsid w:val="FF907CBE"/>
    <w:rsid w:val="FFBBCF32"/>
    <w:rsid w:val="FFF9D01A"/>
    <w:rsid w:val="FFFE1E5B"/>
    <w:rsid w:val="FFFE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1763</Words>
  <Characters>1874</Characters>
  <Lines>0</Lines>
  <Paragraphs>0</Paragraphs>
  <TotalTime>4</TotalTime>
  <ScaleCrop>false</ScaleCrop>
  <LinksUpToDate>false</LinksUpToDate>
  <CharactersWithSpaces>1896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2026-01-31T21:29:00Z</dcterms:created>
  <dc:creator>49423</dc:creator>
  <cp:lastModifiedBy>ysgz</cp:lastModifiedBy>
  <cp:lastPrinted>2026-03-26T14:59:00Z</cp:lastPrinted>
  <dcterms:modified xsi:type="dcterms:W3CDTF">2026-03-26T16:18:07Z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FC8ACECEBF244684B8BBB66B0EC01AB9_12</vt:lpwstr>
  </property>
  <property fmtid="{D5CDD505-2E9C-101B-9397-08002B2CF9AE}" pid="4" name="KSOTemplateDocerSaveRecord">
    <vt:lpwstr>eyJoZGlkIjoiZTk3MTU3MjYzZTAwMmQ1NTMwNmJhMjI4N2RhZWZiOWIiLCJ1c2VySWQiOiIxNjA2NDUzNTc3In0=</vt:lpwstr>
  </property>
</Properties>
</file>